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auto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</w:rPr>
        <w:t>大宗交易方式受让兴业银行可转债报价函</w:t>
      </w:r>
    </w:p>
    <w:bookmarkEnd w:id="0"/>
    <w:p>
      <w:pPr>
        <w:pStyle w:val="4"/>
        <w:spacing w:line="360" w:lineRule="auto"/>
        <w:ind w:firstLine="560" w:firstLineChars="200"/>
        <w:rPr>
          <w:rFonts w:ascii="仿宋" w:hAnsi="仿宋" w:eastAsia="仿宋"/>
          <w:color w:val="auto"/>
        </w:rPr>
      </w:pPr>
    </w:p>
    <w:p>
      <w:pPr>
        <w:pStyle w:val="4"/>
        <w:spacing w:line="360" w:lineRule="auto"/>
        <w:rPr>
          <w:rFonts w:ascii="仿宋" w:hAnsi="仿宋" w:eastAsia="仿宋"/>
          <w:color w:val="auto"/>
        </w:rPr>
      </w:pPr>
      <w:r>
        <w:rPr>
          <w:rFonts w:hint="eastAsia" w:ascii="仿宋" w:hAnsi="仿宋" w:eastAsia="仿宋"/>
          <w:color w:val="auto"/>
        </w:rPr>
        <w:t>龙岩文旅汇金发展集团有限公司：</w:t>
      </w:r>
    </w:p>
    <w:p>
      <w:pPr>
        <w:pStyle w:val="4"/>
        <w:spacing w:line="360" w:lineRule="auto"/>
        <w:ind w:firstLine="560" w:firstLineChars="200"/>
        <w:rPr>
          <w:rFonts w:ascii="仿宋" w:hAnsi="仿宋" w:eastAsia="仿宋"/>
          <w:color w:val="auto"/>
        </w:rPr>
      </w:pPr>
      <w:r>
        <w:rPr>
          <w:rFonts w:hint="eastAsia" w:ascii="仿宋" w:hAnsi="仿宋" w:eastAsia="仿宋"/>
          <w:color w:val="auto"/>
        </w:rPr>
        <w:t>贵司关于公开遴选兴业银行可转债大宗交易受让方的公告，本机构</w:t>
      </w:r>
      <w:r>
        <w:rPr>
          <w:rFonts w:hint="eastAsia" w:ascii="仿宋" w:hAnsi="仿宋" w:eastAsia="仿宋"/>
          <w:color w:val="auto"/>
          <w:lang w:val="en-US" w:eastAsia="zh-CN"/>
        </w:rPr>
        <w:t>/产品</w:t>
      </w:r>
      <w:r>
        <w:rPr>
          <w:rFonts w:hint="eastAsia" w:ascii="仿宋" w:hAnsi="仿宋" w:eastAsia="仿宋"/>
          <w:color w:val="auto"/>
        </w:rPr>
        <w:t>已阅悉，本机构</w:t>
      </w:r>
      <w:r>
        <w:rPr>
          <w:rFonts w:hint="eastAsia" w:ascii="仿宋" w:hAnsi="仿宋" w:eastAsia="仿宋"/>
          <w:color w:val="auto"/>
          <w:lang w:val="en-US" w:eastAsia="zh-CN"/>
        </w:rPr>
        <w:t>/产品已</w:t>
      </w:r>
      <w:r>
        <w:rPr>
          <w:rFonts w:hint="eastAsia" w:ascii="仿宋" w:hAnsi="仿宋" w:eastAsia="仿宋"/>
          <w:color w:val="auto"/>
        </w:rPr>
        <w:t>了解本次兴业银行可转债的相关发行情况，知悉并愿意承担本次交易风险，愿意由本机构</w:t>
      </w:r>
      <w:r>
        <w:rPr>
          <w:rFonts w:hint="eastAsia" w:ascii="仿宋" w:hAnsi="仿宋" w:eastAsia="仿宋"/>
          <w:color w:val="auto"/>
          <w:lang w:val="en-US" w:eastAsia="zh-CN"/>
        </w:rPr>
        <w:t>/产品</w:t>
      </w:r>
      <w:r>
        <w:rPr>
          <w:rFonts w:hint="eastAsia" w:ascii="仿宋" w:hAnsi="仿宋" w:eastAsia="仿宋"/>
          <w:color w:val="auto"/>
        </w:rPr>
        <w:t>或本机构指定的其他主体受让本次贵司拟转让的兴业银行可转债，相关报价要素如下：</w:t>
      </w:r>
    </w:p>
    <w:p>
      <w:pPr>
        <w:pStyle w:val="4"/>
        <w:spacing w:line="360" w:lineRule="auto"/>
        <w:ind w:firstLine="560" w:firstLineChars="200"/>
        <w:rPr>
          <w:rFonts w:ascii="仿宋" w:hAnsi="仿宋" w:eastAsia="仿宋"/>
          <w:color w:val="auto"/>
        </w:rPr>
      </w:pPr>
      <w:r>
        <w:rPr>
          <w:rFonts w:hint="eastAsia" w:ascii="仿宋" w:hAnsi="仿宋" w:eastAsia="仿宋"/>
          <w:color w:val="auto"/>
        </w:rPr>
        <w:t>我司确定的</w:t>
      </w:r>
      <w:r>
        <w:rPr>
          <w:rFonts w:hint="eastAsia" w:ascii="仿宋" w:hAnsi="仿宋" w:eastAsia="仿宋"/>
          <w:color w:val="auto"/>
          <w:lang w:val="en-US" w:eastAsia="zh-CN"/>
        </w:rPr>
        <w:t>意向</w:t>
      </w:r>
      <w:r>
        <w:rPr>
          <w:rFonts w:hint="eastAsia" w:ascii="仿宋" w:hAnsi="仿宋" w:eastAsia="仿宋"/>
          <w:color w:val="auto"/>
        </w:rPr>
        <w:t>受让主体为：</w:t>
      </w:r>
      <w:r>
        <w:rPr>
          <w:rFonts w:hint="eastAsia" w:ascii="仿宋" w:hAnsi="仿宋" w:eastAsia="仿宋"/>
          <w:color w:val="auto"/>
          <w:u w:val="single"/>
        </w:rPr>
        <w:t xml:space="preserve">                           </w:t>
      </w:r>
      <w:r>
        <w:rPr>
          <w:rFonts w:hint="eastAsia" w:ascii="仿宋" w:hAnsi="仿宋" w:eastAsia="仿宋"/>
          <w:color w:val="auto"/>
        </w:rPr>
        <w:t>；机构/产品类型：</w:t>
      </w:r>
      <w:r>
        <w:rPr>
          <w:rFonts w:hint="eastAsia" w:ascii="仿宋" w:hAnsi="仿宋" w:eastAsia="仿宋"/>
          <w:color w:val="auto"/>
          <w:u w:val="single"/>
        </w:rPr>
        <w:t>□全国性股份制银行及其理财</w:t>
      </w:r>
      <w:r>
        <w:rPr>
          <w:rFonts w:hint="eastAsia" w:ascii="仿宋" w:hAnsi="仿宋" w:eastAsia="仿宋"/>
          <w:color w:val="auto"/>
          <w:u w:val="single"/>
          <w:lang w:val="en-US" w:eastAsia="zh-CN"/>
        </w:rPr>
        <w:t>子</w:t>
      </w:r>
      <w:r>
        <w:rPr>
          <w:rFonts w:hint="eastAsia" w:ascii="仿宋" w:hAnsi="仿宋" w:eastAsia="仿宋"/>
          <w:color w:val="auto"/>
          <w:u w:val="single"/>
        </w:rPr>
        <w:t>公司□上市券商□公募基金□信托计划</w:t>
      </w:r>
      <w:r>
        <w:rPr>
          <w:rFonts w:hint="eastAsia" w:ascii="仿宋" w:hAnsi="仿宋" w:eastAsia="仿宋"/>
          <w:color w:val="auto"/>
        </w:rPr>
        <w:t>；拟受让价格：</w:t>
      </w:r>
      <w:r>
        <w:rPr>
          <w:rFonts w:hint="eastAsia" w:ascii="仿宋" w:hAnsi="仿宋" w:eastAsia="仿宋"/>
          <w:color w:val="auto"/>
          <w:u w:val="single"/>
        </w:rPr>
        <w:t>大写：      （小写：   ）</w:t>
      </w:r>
      <w:r>
        <w:rPr>
          <w:rFonts w:hint="eastAsia" w:ascii="仿宋" w:hAnsi="仿宋" w:eastAsia="仿宋"/>
          <w:color w:val="auto"/>
        </w:rPr>
        <w:t>元/张，报价有效期：</w:t>
      </w:r>
      <w:r>
        <w:rPr>
          <w:rFonts w:hint="eastAsia" w:ascii="仿宋" w:hAnsi="仿宋" w:eastAsia="仿宋"/>
          <w:color w:val="auto"/>
          <w:u w:val="single"/>
        </w:rPr>
        <w:t>□</w:t>
      </w:r>
      <w:r>
        <w:rPr>
          <w:rFonts w:hint="eastAsia" w:ascii="仿宋" w:hAnsi="仿宋" w:eastAsia="仿宋"/>
          <w:color w:val="auto"/>
          <w:u w:val="single"/>
          <w:lang w:val="en-US" w:eastAsia="zh-CN"/>
        </w:rPr>
        <w:t>至     年   月   日</w:t>
      </w:r>
      <w:r>
        <w:rPr>
          <w:rFonts w:hint="eastAsia" w:ascii="仿宋" w:hAnsi="仿宋" w:eastAsia="仿宋"/>
          <w:color w:val="auto"/>
          <w:u w:val="single"/>
        </w:rPr>
        <w:t>□覆盖至上市</w:t>
      </w:r>
      <w:r>
        <w:rPr>
          <w:rFonts w:hint="eastAsia" w:ascii="仿宋" w:hAnsi="仿宋" w:eastAsia="仿宋"/>
          <w:color w:val="auto"/>
          <w:u w:val="single"/>
          <w:lang w:val="en-US" w:eastAsia="zh-CN"/>
        </w:rPr>
        <w:t>交易首</w:t>
      </w:r>
      <w:r>
        <w:rPr>
          <w:rFonts w:hint="eastAsia" w:ascii="仿宋" w:hAnsi="仿宋" w:eastAsia="仿宋"/>
          <w:color w:val="auto"/>
          <w:u w:val="single"/>
        </w:rPr>
        <w:t>日</w:t>
      </w:r>
      <w:r>
        <w:rPr>
          <w:rFonts w:hint="eastAsia" w:ascii="仿宋" w:hAnsi="仿宋" w:eastAsia="仿宋"/>
          <w:color w:val="auto"/>
        </w:rPr>
        <w:t>；拟受让金额</w:t>
      </w:r>
      <w:r>
        <w:rPr>
          <w:rFonts w:hint="eastAsia" w:ascii="仿宋" w:hAnsi="仿宋" w:eastAsia="仿宋" w:cs="仿宋"/>
          <w:color w:val="auto"/>
          <w:shd w:val="clear" w:color="auto" w:fill="FFFFFF"/>
        </w:rPr>
        <w:t>（面值）</w:t>
      </w:r>
      <w:r>
        <w:rPr>
          <w:rFonts w:hint="eastAsia" w:ascii="仿宋" w:hAnsi="仿宋" w:eastAsia="仿宋"/>
          <w:color w:val="auto"/>
        </w:rPr>
        <w:t>：</w:t>
      </w:r>
      <w:r>
        <w:rPr>
          <w:rFonts w:hint="eastAsia" w:ascii="仿宋" w:hAnsi="仿宋" w:eastAsia="仿宋"/>
          <w:color w:val="auto"/>
          <w:u w:val="single"/>
        </w:rPr>
        <w:t>大写：</w:t>
      </w:r>
      <w:r>
        <w:rPr>
          <w:rFonts w:hint="eastAsia" w:ascii="仿宋" w:hAnsi="仿宋" w:eastAsia="仿宋"/>
          <w:color w:val="auto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u w:val="single"/>
        </w:rPr>
        <w:t xml:space="preserve">              （小写：        ）</w:t>
      </w:r>
      <w:r>
        <w:rPr>
          <w:rFonts w:hint="eastAsia" w:ascii="仿宋" w:hAnsi="仿宋" w:eastAsia="仿宋"/>
          <w:color w:val="auto"/>
        </w:rPr>
        <w:t>，交易方式：</w:t>
      </w:r>
      <w:r>
        <w:rPr>
          <w:rFonts w:hint="eastAsia" w:ascii="仿宋" w:hAnsi="仿宋" w:eastAsia="仿宋"/>
          <w:color w:val="auto"/>
          <w:u w:val="single"/>
        </w:rPr>
        <w:t>上交所大宗交易</w:t>
      </w:r>
      <w:r>
        <w:rPr>
          <w:rFonts w:hint="eastAsia" w:ascii="仿宋" w:hAnsi="仿宋" w:eastAsia="仿宋"/>
          <w:color w:val="auto"/>
        </w:rPr>
        <w:t xml:space="preserve">。 </w:t>
      </w:r>
    </w:p>
    <w:p>
      <w:pPr>
        <w:pStyle w:val="4"/>
        <w:spacing w:line="360" w:lineRule="auto"/>
        <w:ind w:firstLine="560" w:firstLineChars="200"/>
        <w:rPr>
          <w:rFonts w:ascii="仿宋" w:hAnsi="仿宋" w:eastAsia="仿宋"/>
          <w:color w:val="auto"/>
        </w:rPr>
      </w:pPr>
      <w:r>
        <w:rPr>
          <w:rFonts w:hint="eastAsia" w:ascii="仿宋" w:hAnsi="仿宋" w:eastAsia="仿宋"/>
          <w:color w:val="auto"/>
        </w:rPr>
        <w:t>本机构/产品提交本报价函，即表示愿意接受贵司遴选公告中的相关流程及规则，若被确定为拟签约</w:t>
      </w:r>
      <w:r>
        <w:rPr>
          <w:rFonts w:hint="eastAsia" w:ascii="仿宋" w:hAnsi="仿宋" w:eastAsia="仿宋"/>
          <w:color w:val="auto"/>
          <w:lang w:val="en-US" w:eastAsia="zh-CN"/>
        </w:rPr>
        <w:t>受让</w:t>
      </w:r>
      <w:r>
        <w:rPr>
          <w:rFonts w:hint="eastAsia" w:ascii="仿宋" w:hAnsi="仿宋" w:eastAsia="仿宋"/>
          <w:color w:val="auto"/>
        </w:rPr>
        <w:t>方，除发生不可抗力外，本机构/产品将</w:t>
      </w:r>
      <w:r>
        <w:rPr>
          <w:rFonts w:hint="eastAsia" w:ascii="仿宋" w:hAnsi="仿宋" w:eastAsia="仿宋" w:cs="仿宋"/>
          <w:color w:val="auto"/>
          <w:shd w:val="clear" w:color="auto" w:fill="FFFFFF"/>
        </w:rPr>
        <w:t>在收到中选邮件通知后</w:t>
      </w:r>
      <w:r>
        <w:rPr>
          <w:rFonts w:hint="eastAsia" w:ascii="仿宋" w:hAnsi="仿宋" w:eastAsia="仿宋" w:cs="仿宋"/>
          <w:color w:val="auto"/>
          <w:u w:val="single"/>
          <w:shd w:val="clear" w:color="auto" w:fill="FFFFFF"/>
        </w:rPr>
        <w:t>3</w:t>
      </w:r>
      <w:r>
        <w:rPr>
          <w:rFonts w:hint="eastAsia" w:ascii="仿宋" w:hAnsi="仿宋" w:eastAsia="仿宋" w:cs="仿宋"/>
          <w:color w:val="auto"/>
          <w:shd w:val="clear" w:color="auto" w:fill="FFFFFF"/>
        </w:rPr>
        <w:t>个工作日内</w:t>
      </w:r>
      <w:r>
        <w:rPr>
          <w:rFonts w:hint="eastAsia" w:ascii="仿宋" w:hAnsi="仿宋" w:eastAsia="仿宋"/>
          <w:color w:val="auto"/>
        </w:rPr>
        <w:t>与贵司签订</w:t>
      </w:r>
      <w:r>
        <w:rPr>
          <w:rFonts w:hint="eastAsia" w:ascii="仿宋" w:hAnsi="仿宋" w:eastAsia="仿宋" w:cs="仿宋"/>
          <w:color w:val="auto"/>
          <w:shd w:val="clear" w:color="auto" w:fill="FFFFFF"/>
        </w:rPr>
        <w:t>《</w:t>
      </w:r>
      <w:r>
        <w:rPr>
          <w:rFonts w:ascii="仿宋" w:hAnsi="仿宋" w:eastAsia="仿宋" w:cs="仿宋"/>
          <w:color w:val="auto"/>
          <w:shd w:val="clear" w:color="auto" w:fill="FFFFFF"/>
        </w:rPr>
        <w:t>远期</w:t>
      </w:r>
      <w:r>
        <w:rPr>
          <w:rFonts w:hint="eastAsia" w:ascii="仿宋" w:hAnsi="仿宋" w:eastAsia="仿宋" w:cs="仿宋"/>
          <w:color w:val="auto"/>
          <w:shd w:val="clear" w:color="auto" w:fill="FFFFFF"/>
        </w:rPr>
        <w:t>可转债大宗</w:t>
      </w:r>
      <w:r>
        <w:rPr>
          <w:rFonts w:ascii="仿宋" w:hAnsi="仿宋" w:eastAsia="仿宋" w:cs="仿宋"/>
          <w:color w:val="auto"/>
          <w:shd w:val="clear" w:color="auto" w:fill="FFFFFF"/>
        </w:rPr>
        <w:t>交易</w:t>
      </w:r>
      <w:r>
        <w:rPr>
          <w:rFonts w:hint="eastAsia" w:ascii="仿宋" w:hAnsi="仿宋" w:eastAsia="仿宋" w:cs="仿宋"/>
          <w:color w:val="auto"/>
          <w:shd w:val="clear" w:color="auto" w:fill="FFFFFF"/>
        </w:rPr>
        <w:t>协议》及其他必要协议</w:t>
      </w:r>
      <w:r>
        <w:rPr>
          <w:rFonts w:hint="eastAsia" w:ascii="仿宋" w:hAnsi="仿宋" w:eastAsia="仿宋"/>
          <w:color w:val="auto"/>
        </w:rPr>
        <w:t>，并按协议的约定受让贵司拟转让的兴业银行可转债。</w:t>
      </w:r>
    </w:p>
    <w:p>
      <w:pPr>
        <w:pStyle w:val="2"/>
        <w:rPr>
          <w:color w:val="auto"/>
          <w:sz w:val="30"/>
          <w:szCs w:val="30"/>
        </w:rPr>
      </w:pPr>
      <w:r>
        <w:rPr>
          <w:rFonts w:ascii="Times New Roman" w:hAnsi="Times New Roman" w:eastAsia="仿宋" w:cs="Times New Roman"/>
          <w:color w:val="auto"/>
          <w:sz w:val="30"/>
          <w:szCs w:val="30"/>
        </w:rPr>
        <w:t>（联系人：</w:t>
      </w:r>
      <w:r>
        <w:rPr>
          <w:rFonts w:hint="eastAsia" w:ascii="Times New Roman" w:hAnsi="Times New Roman" w:eastAsia="仿宋" w:cs="Times New Roman"/>
          <w:color w:val="auto"/>
          <w:sz w:val="30"/>
          <w:szCs w:val="30"/>
        </w:rPr>
        <w:t xml:space="preserve"> </w:t>
      </w:r>
      <w:r>
        <w:rPr>
          <w:rFonts w:ascii="Times New Roman" w:hAnsi="Times New Roman" w:eastAsia="仿宋" w:cs="Times New Roman"/>
          <w:color w:val="auto"/>
          <w:sz w:val="30"/>
          <w:szCs w:val="30"/>
        </w:rPr>
        <w:t xml:space="preserve">    联系电话：</w:t>
      </w:r>
      <w:r>
        <w:rPr>
          <w:rFonts w:hint="eastAsia" w:ascii="Times New Roman" w:hAnsi="Times New Roman" w:eastAsia="仿宋" w:cs="Times New Roman"/>
          <w:color w:val="auto"/>
          <w:sz w:val="30"/>
          <w:szCs w:val="30"/>
        </w:rPr>
        <w:t xml:space="preserve">        </w:t>
      </w:r>
      <w:r>
        <w:rPr>
          <w:rFonts w:ascii="Times New Roman" w:hAnsi="Times New Roman" w:eastAsia="仿宋" w:cs="Times New Roman"/>
          <w:color w:val="auto"/>
          <w:sz w:val="30"/>
          <w:szCs w:val="30"/>
        </w:rPr>
        <w:t>）</w:t>
      </w:r>
    </w:p>
    <w:p>
      <w:pPr>
        <w:spacing w:line="600" w:lineRule="exact"/>
        <w:ind w:firstLine="3920" w:firstLineChars="1400"/>
        <w:jc w:val="right"/>
        <w:rPr>
          <w:rFonts w:ascii="Times New Roman" w:hAnsi="Times New Roman" w:eastAsia="仿宋" w:cs="Times New Roman"/>
          <w:color w:val="auto"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u w:val="single"/>
        </w:rPr>
        <w:t xml:space="preserve">     机构/产品（盖章）</w:t>
      </w:r>
    </w:p>
    <w:p>
      <w:pPr>
        <w:pStyle w:val="4"/>
        <w:spacing w:line="360" w:lineRule="auto"/>
        <w:ind w:firstLine="560" w:firstLineChars="200"/>
        <w:rPr>
          <w:rFonts w:ascii="仿宋" w:hAnsi="仿宋" w:eastAsia="仿宋"/>
          <w:color w:val="auto"/>
          <w:sz w:val="24"/>
          <w:szCs w:val="24"/>
        </w:rPr>
      </w:pPr>
      <w:r>
        <w:rPr>
          <w:rFonts w:eastAsia="仿宋"/>
          <w:color w:val="auto"/>
        </w:rPr>
        <w:t xml:space="preserve">                               </w:t>
      </w:r>
      <w:r>
        <w:rPr>
          <w:rFonts w:hint="eastAsia" w:eastAsia="仿宋"/>
          <w:color w:val="auto"/>
        </w:rPr>
        <w:t xml:space="preserve">      </w:t>
      </w:r>
      <w:r>
        <w:rPr>
          <w:rFonts w:eastAsia="仿宋"/>
          <w:color w:val="auto"/>
        </w:rPr>
        <w:t>2021年</w:t>
      </w:r>
      <w:r>
        <w:rPr>
          <w:rFonts w:hint="eastAsia" w:eastAsia="仿宋"/>
          <w:color w:val="auto"/>
        </w:rPr>
        <w:t>12</w:t>
      </w:r>
      <w:r>
        <w:rPr>
          <w:rFonts w:eastAsia="仿宋"/>
          <w:color w:val="auto"/>
        </w:rPr>
        <w:t>月</w:t>
      </w:r>
      <w:r>
        <w:rPr>
          <w:rFonts w:hint="eastAsia" w:eastAsia="仿宋"/>
          <w:color w:val="auto"/>
        </w:rPr>
        <w:t xml:space="preserve">   </w:t>
      </w:r>
      <w:r>
        <w:rPr>
          <w:rFonts w:eastAsia="仿宋"/>
          <w:color w:val="auto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3A9"/>
    <w:rsid w:val="000B2CE4"/>
    <w:rsid w:val="00103C9A"/>
    <w:rsid w:val="00334276"/>
    <w:rsid w:val="003C3C52"/>
    <w:rsid w:val="003C6125"/>
    <w:rsid w:val="003F50B7"/>
    <w:rsid w:val="004B3153"/>
    <w:rsid w:val="004F6F72"/>
    <w:rsid w:val="00565A9A"/>
    <w:rsid w:val="005D0AC8"/>
    <w:rsid w:val="005E1816"/>
    <w:rsid w:val="006F2328"/>
    <w:rsid w:val="00724CC3"/>
    <w:rsid w:val="007754D1"/>
    <w:rsid w:val="007F6BDF"/>
    <w:rsid w:val="00800B12"/>
    <w:rsid w:val="00A43F25"/>
    <w:rsid w:val="00AB1AA7"/>
    <w:rsid w:val="00BB2B64"/>
    <w:rsid w:val="00BC4217"/>
    <w:rsid w:val="00DA1EC9"/>
    <w:rsid w:val="00E035FF"/>
    <w:rsid w:val="00E373A9"/>
    <w:rsid w:val="00FD1881"/>
    <w:rsid w:val="04442963"/>
    <w:rsid w:val="075850BB"/>
    <w:rsid w:val="0CB97D33"/>
    <w:rsid w:val="0E4273F9"/>
    <w:rsid w:val="0EA84465"/>
    <w:rsid w:val="102934D2"/>
    <w:rsid w:val="114B146A"/>
    <w:rsid w:val="14020FA8"/>
    <w:rsid w:val="14EA182B"/>
    <w:rsid w:val="175469E0"/>
    <w:rsid w:val="1A102926"/>
    <w:rsid w:val="1AD6746D"/>
    <w:rsid w:val="1ED31BFC"/>
    <w:rsid w:val="22320F6A"/>
    <w:rsid w:val="22881398"/>
    <w:rsid w:val="23983BC9"/>
    <w:rsid w:val="254E4652"/>
    <w:rsid w:val="272A198B"/>
    <w:rsid w:val="277F3BBE"/>
    <w:rsid w:val="2C2476D3"/>
    <w:rsid w:val="2D792ACA"/>
    <w:rsid w:val="2E3A2BEF"/>
    <w:rsid w:val="2EBA4064"/>
    <w:rsid w:val="308B21E1"/>
    <w:rsid w:val="30ED423A"/>
    <w:rsid w:val="357F42F0"/>
    <w:rsid w:val="359F2514"/>
    <w:rsid w:val="36944619"/>
    <w:rsid w:val="36BD662D"/>
    <w:rsid w:val="36F30D8D"/>
    <w:rsid w:val="3A4914E3"/>
    <w:rsid w:val="3E1B6EA2"/>
    <w:rsid w:val="3F282591"/>
    <w:rsid w:val="416648A5"/>
    <w:rsid w:val="436E20D4"/>
    <w:rsid w:val="43C8467E"/>
    <w:rsid w:val="43DF3290"/>
    <w:rsid w:val="45571614"/>
    <w:rsid w:val="47B63E28"/>
    <w:rsid w:val="4AAE2C68"/>
    <w:rsid w:val="4C1D3A6D"/>
    <w:rsid w:val="4E0B4DC0"/>
    <w:rsid w:val="4FE53188"/>
    <w:rsid w:val="52442994"/>
    <w:rsid w:val="52631A77"/>
    <w:rsid w:val="5311478C"/>
    <w:rsid w:val="54CF2173"/>
    <w:rsid w:val="58F5591F"/>
    <w:rsid w:val="59C02446"/>
    <w:rsid w:val="5C2F63E2"/>
    <w:rsid w:val="5CFC234E"/>
    <w:rsid w:val="5E3B4A91"/>
    <w:rsid w:val="62243865"/>
    <w:rsid w:val="63896BF7"/>
    <w:rsid w:val="65B8675B"/>
    <w:rsid w:val="65CB1270"/>
    <w:rsid w:val="66C24F1B"/>
    <w:rsid w:val="66EF391B"/>
    <w:rsid w:val="6C062375"/>
    <w:rsid w:val="6C2701BA"/>
    <w:rsid w:val="6E233DB4"/>
    <w:rsid w:val="75155CB6"/>
    <w:rsid w:val="755E06C2"/>
    <w:rsid w:val="763264A6"/>
    <w:rsid w:val="76CC73AE"/>
    <w:rsid w:val="76D6069A"/>
    <w:rsid w:val="770F3517"/>
    <w:rsid w:val="77881356"/>
    <w:rsid w:val="78E67ED9"/>
    <w:rsid w:val="7A1C0F32"/>
    <w:rsid w:val="7C00231B"/>
    <w:rsid w:val="7E6E0EEE"/>
    <w:rsid w:val="7E82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qFormat/>
    <w:uiPriority w:val="99"/>
    <w:rPr>
      <w:sz w:val="18"/>
      <w:szCs w:val="18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pPr>
      <w:widowControl/>
    </w:pPr>
    <w:rPr>
      <w:rFonts w:ascii="Times New Roman" w:hAnsi="Times New Roman" w:eastAsia="楷体_GB2312" w:cs="Times New Roman"/>
      <w:kern w:val="0"/>
      <w:sz w:val="28"/>
      <w:szCs w:val="2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="100" w:beforeAutospacing="1" w:after="100" w:afterAutospacing="1"/>
    </w:pPr>
    <w:rPr>
      <w:rFonts w:cs="Times New Roman"/>
    </w:rPr>
  </w:style>
  <w:style w:type="character" w:styleId="10">
    <w:name w:val="Hyperlink"/>
    <w:basedOn w:val="9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Unresolved Mention"/>
    <w:basedOn w:val="9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353</Words>
  <Characters>2016</Characters>
  <Lines>16</Lines>
  <Paragraphs>4</Paragraphs>
  <TotalTime>15</TotalTime>
  <ScaleCrop>false</ScaleCrop>
  <LinksUpToDate>false</LinksUpToDate>
  <CharactersWithSpaces>2365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2021-12-26T03:55:00Z</dcterms:created>
  <dc:creator>zhongping</dc:creator>
  <cp:lastModifiedBy>英特纳雄耐尔</cp:lastModifiedBy>
  <cp:lastPrinted>2021-12-28T00:45:00Z</cp:lastPrinted>
  <dcterms:modified xsi:type="dcterms:W3CDTF">2021-12-28T07:21:41Z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D9DBDC13E0AA41C5B29B63179C6FA3F9</vt:lpwstr>
  </property>
</Properties>
</file>